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E" w:rsidRDefault="000D582E" w:rsidP="000D582E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  <w:color w:val="000000"/>
          <w:lang w:eastAsia="ru-RU" w:bidi="ru-RU"/>
        </w:rPr>
        <w:t>Разъяснения по вопросу осуществления перевода обучающихся из одной</w:t>
      </w:r>
      <w:r>
        <w:rPr>
          <w:b/>
          <w:bCs/>
          <w:color w:val="000000"/>
          <w:lang w:eastAsia="ru-RU" w:bidi="ru-RU"/>
        </w:rPr>
        <w:br/>
        <w:t>организации, осуществляющей образовательную деятельность по</w:t>
      </w:r>
      <w:r>
        <w:rPr>
          <w:b/>
          <w:bCs/>
          <w:color w:val="000000"/>
          <w:lang w:eastAsia="ru-RU" w:bidi="ru-RU"/>
        </w:rPr>
        <w:br/>
        <w:t>образовательным программам начального общего, основного общего и</w:t>
      </w:r>
      <w:r>
        <w:rPr>
          <w:b/>
          <w:bCs/>
          <w:color w:val="000000"/>
          <w:lang w:eastAsia="ru-RU" w:bidi="ru-RU"/>
        </w:rPr>
        <w:br/>
        <w:t>среднего общего образования, в другие организации, осуществляющие</w:t>
      </w:r>
      <w:r>
        <w:rPr>
          <w:b/>
          <w:bCs/>
          <w:color w:val="000000"/>
          <w:lang w:eastAsia="ru-RU" w:bidi="ru-RU"/>
        </w:rPr>
        <w:br/>
        <w:t>образовательную деятельность по образовательным программам</w:t>
      </w:r>
      <w:r>
        <w:rPr>
          <w:b/>
          <w:bCs/>
          <w:color w:val="000000"/>
          <w:lang w:eastAsia="ru-RU" w:bidi="ru-RU"/>
        </w:rPr>
        <w:br/>
        <w:t>соответствующих уровня и направленности.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2 ст. 30 Федерального закона от 29 декабря 2012 г. № 273-ФЗ «Об образовании в Российской Федерации» (далее - Закон об образовании)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и основания перевода, отчисления и восстановления обучающихся.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приказом Минпросвещения России от 6 апреля 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- Приказ 240)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</w:t>
      </w:r>
    </w:p>
    <w:p w:rsidR="000D582E" w:rsidRDefault="000D582E" w:rsidP="000D582E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ind w:firstLine="0"/>
      </w:pPr>
      <w:r>
        <w:rPr>
          <w:color w:val="000000"/>
          <w:lang w:eastAsia="ru-RU" w:bidi="ru-RU"/>
        </w:rPr>
        <w:t>принимающие организации), осуществляется в следующих случаях:</w:t>
      </w:r>
    </w:p>
    <w:p w:rsidR="000D582E" w:rsidRDefault="000D582E" w:rsidP="000D582E">
      <w:pPr>
        <w:pStyle w:val="1"/>
        <w:shd w:val="clear" w:color="auto" w:fill="auto"/>
        <w:tabs>
          <w:tab w:val="left" w:pos="1222"/>
        </w:tabs>
        <w:ind w:firstLine="74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D582E" w:rsidRDefault="000D582E" w:rsidP="000D582E">
      <w:pPr>
        <w:pStyle w:val="1"/>
        <w:shd w:val="clear" w:color="auto" w:fill="auto"/>
        <w:tabs>
          <w:tab w:val="left" w:pos="1222"/>
        </w:tabs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 случае прекращения деятельности исходной организации, аннулирования лицензии на осуществление образовательной деятельности (далее</w:t>
      </w:r>
    </w:p>
    <w:p w:rsidR="000D582E" w:rsidRDefault="000D582E" w:rsidP="000D582E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ind w:firstLine="0"/>
        <w:jc w:val="both"/>
      </w:pPr>
      <w:r>
        <w:rPr>
          <w:color w:val="000000"/>
          <w:lang w:eastAsia="ru-RU" w:bidi="ru-RU"/>
        </w:rPr>
        <w:t>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0D582E" w:rsidRDefault="000D582E" w:rsidP="000D582E">
      <w:pPr>
        <w:pStyle w:val="1"/>
        <w:shd w:val="clear" w:color="auto" w:fill="auto"/>
        <w:tabs>
          <w:tab w:val="left" w:pos="1066"/>
        </w:tabs>
        <w:spacing w:after="180"/>
        <w:ind w:firstLine="7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в случае приостановления действия лицензии.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</w:t>
      </w:r>
      <w:r>
        <w:rPr>
          <w:color w:val="000000"/>
          <w:lang w:eastAsia="ru-RU" w:bidi="ru-RU"/>
        </w:rPr>
        <w:lastRenderedPageBreak/>
        <w:t>согласия их родителей (законных представителей).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Перевод обучающихся не зависит от периода (времени) учебного года.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пунктами 5-10 Приказа 240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0D582E" w:rsidRDefault="000D582E" w:rsidP="000D582E">
      <w:pPr>
        <w:pStyle w:val="1"/>
        <w:shd w:val="clear" w:color="auto" w:fill="auto"/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осуществляют выбор принимающей организации;</w:t>
      </w:r>
    </w:p>
    <w:p w:rsidR="000D582E" w:rsidRDefault="000D582E" w:rsidP="000D582E">
      <w:pPr>
        <w:pStyle w:val="1"/>
        <w:shd w:val="clear" w:color="auto" w:fill="auto"/>
        <w:tabs>
          <w:tab w:val="left" w:pos="1095"/>
        </w:tabs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обращаются в выбранную принимающую организацию с запросом о наличии свободных мест, в том числе с использованием информационно</w:t>
      </w:r>
      <w:r>
        <w:rPr>
          <w:color w:val="000000"/>
          <w:lang w:eastAsia="ru-RU" w:bidi="ru-RU"/>
        </w:rPr>
        <w:softHyphen/>
        <w:t>телекоммуникационной сети «Интернет» (далее - сеть Интернет);</w:t>
      </w:r>
    </w:p>
    <w:p w:rsidR="000D582E" w:rsidRDefault="000D582E" w:rsidP="000D582E">
      <w:pPr>
        <w:pStyle w:val="1"/>
        <w:shd w:val="clear" w:color="auto" w:fill="auto"/>
        <w:tabs>
          <w:tab w:val="left" w:pos="1086"/>
        </w:tabs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0D582E" w:rsidRDefault="000D582E" w:rsidP="000D582E">
      <w:pPr>
        <w:pStyle w:val="1"/>
        <w:shd w:val="clear" w:color="auto" w:fill="auto"/>
        <w:tabs>
          <w:tab w:val="left" w:pos="1066"/>
        </w:tabs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D582E" w:rsidRDefault="000D582E" w:rsidP="000D582E">
      <w:pPr>
        <w:pStyle w:val="1"/>
        <w:shd w:val="clear" w:color="auto" w:fill="auto"/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фамилия, имя, отчество (при наличии) обучающегося;</w:t>
      </w:r>
    </w:p>
    <w:p w:rsidR="000D582E" w:rsidRDefault="000D582E" w:rsidP="000D582E">
      <w:pPr>
        <w:pStyle w:val="1"/>
        <w:shd w:val="clear" w:color="auto" w:fill="auto"/>
        <w:tabs>
          <w:tab w:val="left" w:pos="1115"/>
        </w:tabs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дата рождения;</w:t>
      </w:r>
    </w:p>
    <w:p w:rsidR="000D582E" w:rsidRDefault="000D582E" w:rsidP="000D582E">
      <w:pPr>
        <w:pStyle w:val="1"/>
        <w:shd w:val="clear" w:color="auto" w:fill="auto"/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класс и профиль обучения (при наличии);</w:t>
      </w:r>
    </w:p>
    <w:p w:rsidR="000D582E" w:rsidRDefault="000D582E" w:rsidP="000D582E">
      <w:pPr>
        <w:pStyle w:val="1"/>
        <w:shd w:val="clear" w:color="auto" w:fill="auto"/>
        <w:tabs>
          <w:tab w:val="left" w:pos="1066"/>
        </w:tabs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а) личное дело обучающегося;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lastRenderedPageBreak/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10 Приказа 240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12 Приказа 240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 с указанием даты зачисления и класса.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  <w:sectPr w:rsidR="000D582E">
          <w:pgSz w:w="11900" w:h="16840"/>
          <w:pgMar w:top="1110" w:right="661" w:bottom="1249" w:left="1371" w:header="0" w:footer="821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В соответствии с п. 13 Приказа 240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E52E0" w:rsidRDefault="005E52E0">
      <w:bookmarkStart w:id="0" w:name="_GoBack"/>
      <w:bookmarkEnd w:id="0"/>
    </w:p>
    <w:sectPr w:rsidR="005E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27E"/>
    <w:multiLevelType w:val="multilevel"/>
    <w:tmpl w:val="06A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AF"/>
    <w:rsid w:val="000D582E"/>
    <w:rsid w:val="005E52E0"/>
    <w:rsid w:val="00C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CA16A-B6D6-43A6-A9DF-6C0B3EA4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8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D582E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2</cp:revision>
  <dcterms:created xsi:type="dcterms:W3CDTF">2024-08-20T07:20:00Z</dcterms:created>
  <dcterms:modified xsi:type="dcterms:W3CDTF">2024-08-20T07:20:00Z</dcterms:modified>
</cp:coreProperties>
</file>